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0E7361" w:rsidRDefault="000E736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E7361" w:rsidRDefault="000E736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Política de </w:t>
            </w:r>
            <w:r w:rsidR="00F534D7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9A3AEE" w:rsidRDefault="000E7361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Cumplir con la normatividad nacional vigente en materia de riesgos laborales.</w:t>
            </w:r>
          </w:p>
          <w:p w:rsidR="000E7361" w:rsidRPr="007C2253" w:rsidRDefault="000E7361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Proteger la Seguridad y Salud de todos los trabajadores, mediante la mejora continua del Sistema de Gestión de la Seguridad y Salud en el Trabajo (SG-SST) en la entidad.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46992" w:rsidRDefault="0074699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0431DE" w:rsidP="00AE78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Desarrollar actividades encaminadas a la reducción de los índices de riesgo psicosocial a los que se encuentran expuestos los funcionarios públicos del Fondo Rotatorio de la Polic</w:t>
            </w:r>
            <w:r w:rsidR="00FD228C">
              <w:rPr>
                <w:rFonts w:ascii="Arial" w:hAnsi="Arial" w:cs="Arial"/>
                <w:color w:val="000000"/>
                <w:sz w:val="20"/>
                <w:szCs w:val="20"/>
              </w:rPr>
              <w:t>ía, bajo lo evidenciado en la aplicación de la batería psicosocial, con el fin de prevenir la ocurrencia de enfermedades laborales relacionadas con el riesgo en mención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786A" w:rsidRDefault="00AE786A" w:rsidP="00AE78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matriz de requisitos legales del Sistema de Gestión de Seguridad y Salud en el Trabajo: </w:t>
            </w:r>
            <w:hyperlink r:id="rId8" w:history="1">
              <w:r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AE78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</w:t>
            </w:r>
            <w:r w:rsidR="00E442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786A">
              <w:rPr>
                <w:rFonts w:ascii="Arial" w:hAnsi="Arial" w:cs="Arial"/>
                <w:color w:val="000000"/>
                <w:sz w:val="20"/>
                <w:szCs w:val="20"/>
              </w:rPr>
              <w:t>Anual de Adquisiciones aprobado.</w:t>
            </w:r>
            <w:r w:rsidR="00E33F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2561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p w:rsidR="00E44240" w:rsidRPr="004C3974" w:rsidRDefault="00E44240" w:rsidP="005D7F82">
      <w:pPr>
        <w:rPr>
          <w:rFonts w:ascii="Arial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174"/>
        <w:gridCol w:w="1952"/>
        <w:gridCol w:w="1217"/>
        <w:gridCol w:w="1217"/>
        <w:gridCol w:w="2297"/>
      </w:tblGrid>
      <w:tr w:rsidR="00E44240" w:rsidTr="00376457">
        <w:tc>
          <w:tcPr>
            <w:tcW w:w="559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74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952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:rsidR="00E44240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29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82536A" w:rsidTr="0021721D">
        <w:tc>
          <w:tcPr>
            <w:tcW w:w="559" w:type="dxa"/>
          </w:tcPr>
          <w:p w:rsidR="0082536A" w:rsidRPr="00222E01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4" w:type="dxa"/>
          </w:tcPr>
          <w:p w:rsidR="0082536A" w:rsidRPr="007D3435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Gestionar la aplicación de la Batería Psicosocial a los funcionarios del Fondo Rotatorio de la Policía</w:t>
            </w:r>
          </w:p>
        </w:tc>
        <w:tc>
          <w:tcPr>
            <w:tcW w:w="1952" w:type="dxa"/>
            <w:vAlign w:val="center"/>
          </w:tcPr>
          <w:p w:rsidR="0082536A" w:rsidRPr="007D3435" w:rsidRDefault="0082536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ECO Radicado</w:t>
            </w:r>
          </w:p>
        </w:tc>
        <w:tc>
          <w:tcPr>
            <w:tcW w:w="1217" w:type="dxa"/>
          </w:tcPr>
          <w:p w:rsidR="0082536A" w:rsidRPr="007D3435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01/01/2022</w:t>
            </w:r>
          </w:p>
        </w:tc>
        <w:tc>
          <w:tcPr>
            <w:tcW w:w="1217" w:type="dxa"/>
          </w:tcPr>
          <w:p w:rsidR="0082536A" w:rsidRPr="007D3435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28/05/2022</w:t>
            </w:r>
          </w:p>
        </w:tc>
        <w:tc>
          <w:tcPr>
            <w:tcW w:w="2297" w:type="dxa"/>
            <w:vAlign w:val="center"/>
          </w:tcPr>
          <w:p w:rsidR="0082536A" w:rsidRDefault="0082536A" w:rsidP="0082536A">
            <w:pPr>
              <w:jc w:val="both"/>
            </w:pPr>
            <w:r w:rsidRPr="002633CC">
              <w:rPr>
                <w:rFonts w:ascii="Arial" w:hAnsi="Arial" w:cs="Arial"/>
                <w:color w:val="000000"/>
                <w:sz w:val="20"/>
              </w:rPr>
              <w:t xml:space="preserve">Líder Seguridad y Salud en el Trabajo </w:t>
            </w:r>
          </w:p>
        </w:tc>
      </w:tr>
      <w:tr w:rsidR="0082536A" w:rsidTr="0021721D">
        <w:tc>
          <w:tcPr>
            <w:tcW w:w="559" w:type="dxa"/>
          </w:tcPr>
          <w:p w:rsidR="0082536A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536A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536A" w:rsidRPr="00222E01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4" w:type="dxa"/>
          </w:tcPr>
          <w:p w:rsidR="0082536A" w:rsidRPr="007D3435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verificación al cumplimiento de la Resolución 652 de 2012 “Por la cual se establece la conformación y funcionamiento del Comité de Convivencia Laboral”</w:t>
            </w:r>
          </w:p>
        </w:tc>
        <w:tc>
          <w:tcPr>
            <w:tcW w:w="1952" w:type="dxa"/>
            <w:vAlign w:val="center"/>
          </w:tcPr>
          <w:p w:rsidR="0082536A" w:rsidRDefault="0082536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2536A" w:rsidRDefault="0082536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2536A" w:rsidRPr="007D3435" w:rsidRDefault="0082536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de verificación</w:t>
            </w:r>
          </w:p>
        </w:tc>
        <w:tc>
          <w:tcPr>
            <w:tcW w:w="1217" w:type="dxa"/>
          </w:tcPr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2536A" w:rsidRPr="007D3435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01/03/2022</w:t>
            </w:r>
          </w:p>
        </w:tc>
        <w:tc>
          <w:tcPr>
            <w:tcW w:w="1217" w:type="dxa"/>
          </w:tcPr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2536A" w:rsidRPr="007D3435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30/04/2022</w:t>
            </w:r>
          </w:p>
        </w:tc>
        <w:tc>
          <w:tcPr>
            <w:tcW w:w="2297" w:type="dxa"/>
            <w:vAlign w:val="center"/>
          </w:tcPr>
          <w:p w:rsidR="0082536A" w:rsidRDefault="0082536A" w:rsidP="0082536A">
            <w:pPr>
              <w:jc w:val="both"/>
            </w:pPr>
            <w:r w:rsidRPr="002633CC">
              <w:rPr>
                <w:rFonts w:ascii="Arial" w:hAnsi="Arial" w:cs="Arial"/>
                <w:color w:val="000000"/>
                <w:sz w:val="20"/>
              </w:rPr>
              <w:t xml:space="preserve">Líder Seguridad y Salud en el Trabajo </w:t>
            </w:r>
          </w:p>
        </w:tc>
      </w:tr>
      <w:tr w:rsidR="0082536A" w:rsidTr="0021721D">
        <w:tc>
          <w:tcPr>
            <w:tcW w:w="559" w:type="dxa"/>
          </w:tcPr>
          <w:p w:rsidR="0082536A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536A" w:rsidRDefault="0082536A" w:rsidP="00825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4" w:type="dxa"/>
          </w:tcPr>
          <w:p w:rsidR="0082536A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Desarrollar actividades, encaminadas a la reducción del riesgo psicosoci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</w:rPr>
              <w:t>al.</w:t>
            </w:r>
          </w:p>
        </w:tc>
        <w:tc>
          <w:tcPr>
            <w:tcW w:w="1952" w:type="dxa"/>
            <w:vAlign w:val="center"/>
          </w:tcPr>
          <w:p w:rsidR="0082536A" w:rsidRDefault="0082536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2536A" w:rsidRDefault="0082536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Informe de actividades desarrolladas</w:t>
            </w:r>
          </w:p>
        </w:tc>
        <w:tc>
          <w:tcPr>
            <w:tcW w:w="1217" w:type="dxa"/>
          </w:tcPr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01/01/2022</w:t>
            </w:r>
          </w:p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01/07/2022</w:t>
            </w:r>
          </w:p>
        </w:tc>
        <w:tc>
          <w:tcPr>
            <w:tcW w:w="1217" w:type="dxa"/>
          </w:tcPr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30/06/2022</w:t>
            </w:r>
          </w:p>
          <w:p w:rsidR="0082536A" w:rsidRDefault="0082536A" w:rsidP="0082536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30/11/2022</w:t>
            </w:r>
          </w:p>
        </w:tc>
        <w:tc>
          <w:tcPr>
            <w:tcW w:w="2297" w:type="dxa"/>
            <w:vAlign w:val="center"/>
          </w:tcPr>
          <w:p w:rsidR="0082536A" w:rsidRDefault="0082536A" w:rsidP="0082536A">
            <w:pPr>
              <w:jc w:val="both"/>
            </w:pPr>
            <w:r w:rsidRPr="002633CC">
              <w:rPr>
                <w:rFonts w:ascii="Arial" w:hAnsi="Arial" w:cs="Arial"/>
                <w:color w:val="000000"/>
                <w:sz w:val="20"/>
              </w:rPr>
              <w:t xml:space="preserve">Líder Seguridad y Salud en el Trabajo </w:t>
            </w:r>
          </w:p>
        </w:tc>
      </w:tr>
      <w:tr w:rsidR="00ED56AA" w:rsidTr="0021721D">
        <w:tc>
          <w:tcPr>
            <w:tcW w:w="559" w:type="dxa"/>
          </w:tcPr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4" w:type="dxa"/>
          </w:tcPr>
          <w:p w:rsidR="00ED56AA" w:rsidRDefault="00ED56AA" w:rsidP="00955411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pausas activas en la Sede Administrativa</w:t>
            </w:r>
          </w:p>
        </w:tc>
        <w:tc>
          <w:tcPr>
            <w:tcW w:w="1952" w:type="dxa"/>
            <w:vAlign w:val="center"/>
          </w:tcPr>
          <w:p w:rsidR="00ED56AA" w:rsidRDefault="00ED56A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</w:tc>
        <w:tc>
          <w:tcPr>
            <w:tcW w:w="1217" w:type="dxa"/>
          </w:tcPr>
          <w:p w:rsidR="00ED56AA" w:rsidRDefault="00ED56AA" w:rsidP="009554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  <w:p w:rsidR="00ED56AA" w:rsidRDefault="00ED56AA" w:rsidP="009554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01/07/2022</w:t>
            </w:r>
          </w:p>
        </w:tc>
        <w:tc>
          <w:tcPr>
            <w:tcW w:w="1217" w:type="dxa"/>
          </w:tcPr>
          <w:p w:rsidR="00ED56AA" w:rsidRDefault="00ED56AA" w:rsidP="009554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30/06/2022</w:t>
            </w:r>
          </w:p>
          <w:p w:rsidR="00ED56AA" w:rsidRDefault="00ED56AA" w:rsidP="009554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20/12/2022</w:t>
            </w:r>
          </w:p>
        </w:tc>
        <w:tc>
          <w:tcPr>
            <w:tcW w:w="2297" w:type="dxa"/>
            <w:vAlign w:val="center"/>
          </w:tcPr>
          <w:p w:rsidR="00ED56AA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Líder </w:t>
            </w:r>
            <w:r w:rsidR="00ED56AA">
              <w:rPr>
                <w:rFonts w:ascii="Arial" w:hAnsi="Arial" w:cs="Arial"/>
                <w:color w:val="000000"/>
                <w:sz w:val="20"/>
              </w:rPr>
              <w:t>Seguridad y Salud en el Trabajo Sede Administrativa</w:t>
            </w:r>
          </w:p>
        </w:tc>
      </w:tr>
      <w:tr w:rsidR="00ED56AA" w:rsidTr="0021721D">
        <w:tc>
          <w:tcPr>
            <w:tcW w:w="559" w:type="dxa"/>
          </w:tcPr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4" w:type="dxa"/>
          </w:tcPr>
          <w:p w:rsidR="00ED56AA" w:rsidRDefault="00ED56AA" w:rsidP="00ED56A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ED56A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pausas activas en la Fábrica de Confecciones</w:t>
            </w:r>
          </w:p>
        </w:tc>
        <w:tc>
          <w:tcPr>
            <w:tcW w:w="1952" w:type="dxa"/>
            <w:vAlign w:val="center"/>
          </w:tcPr>
          <w:p w:rsidR="00ED56AA" w:rsidRDefault="00ED56A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</w:tc>
        <w:tc>
          <w:tcPr>
            <w:tcW w:w="1217" w:type="dxa"/>
          </w:tcPr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01/07/2022</w:t>
            </w:r>
          </w:p>
        </w:tc>
        <w:tc>
          <w:tcPr>
            <w:tcW w:w="1217" w:type="dxa"/>
          </w:tcPr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30/06/2022</w:t>
            </w: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20/12/2022</w:t>
            </w:r>
          </w:p>
        </w:tc>
        <w:tc>
          <w:tcPr>
            <w:tcW w:w="2297" w:type="dxa"/>
            <w:vAlign w:val="center"/>
          </w:tcPr>
          <w:p w:rsidR="00ED56AA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Líder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D56AA">
              <w:rPr>
                <w:rFonts w:ascii="Arial" w:hAnsi="Arial" w:cs="Arial"/>
                <w:color w:val="000000"/>
                <w:sz w:val="20"/>
              </w:rPr>
              <w:t>Seguridad y Salud en el Trabajo Fabrica de Confecciones</w:t>
            </w:r>
          </w:p>
        </w:tc>
      </w:tr>
      <w:tr w:rsidR="00ED56AA" w:rsidTr="0021721D">
        <w:tc>
          <w:tcPr>
            <w:tcW w:w="559" w:type="dxa"/>
          </w:tcPr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74" w:type="dxa"/>
          </w:tcPr>
          <w:p w:rsidR="00ED56AA" w:rsidRDefault="00ED56AA" w:rsidP="00ED56A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ED56A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pausas activas en la Sede Funza</w:t>
            </w:r>
          </w:p>
        </w:tc>
        <w:tc>
          <w:tcPr>
            <w:tcW w:w="1952" w:type="dxa"/>
            <w:vAlign w:val="center"/>
          </w:tcPr>
          <w:p w:rsidR="00ED56AA" w:rsidRDefault="00ED56A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</w:tc>
        <w:tc>
          <w:tcPr>
            <w:tcW w:w="1217" w:type="dxa"/>
          </w:tcPr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01/07/2022</w:t>
            </w:r>
          </w:p>
        </w:tc>
        <w:tc>
          <w:tcPr>
            <w:tcW w:w="1217" w:type="dxa"/>
          </w:tcPr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30/06/2022</w:t>
            </w:r>
          </w:p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20/12/2022</w:t>
            </w:r>
          </w:p>
        </w:tc>
        <w:tc>
          <w:tcPr>
            <w:tcW w:w="2297" w:type="dxa"/>
            <w:vAlign w:val="center"/>
          </w:tcPr>
          <w:p w:rsidR="00ED56AA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Líder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D56AA">
              <w:rPr>
                <w:rFonts w:ascii="Arial" w:hAnsi="Arial" w:cs="Arial"/>
                <w:color w:val="000000"/>
                <w:sz w:val="20"/>
              </w:rPr>
              <w:t>Seguridad y Salud en el Trabajo en la Sede Funza</w:t>
            </w:r>
          </w:p>
        </w:tc>
      </w:tr>
      <w:tr w:rsidR="00ED56AA" w:rsidTr="0021721D">
        <w:tc>
          <w:tcPr>
            <w:tcW w:w="559" w:type="dxa"/>
          </w:tcPr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56AA" w:rsidRDefault="00ED56AA" w:rsidP="00ED56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4" w:type="dxa"/>
          </w:tcPr>
          <w:p w:rsidR="00ED56AA" w:rsidRDefault="00ED56AA" w:rsidP="00ED56A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divulgación de los resultados obtenidos en la Batería Psicosocial con los coordinadores, Jefes de oficina de la entidad.</w:t>
            </w:r>
          </w:p>
        </w:tc>
        <w:tc>
          <w:tcPr>
            <w:tcW w:w="1952" w:type="dxa"/>
            <w:vAlign w:val="center"/>
          </w:tcPr>
          <w:p w:rsidR="00D1518C" w:rsidRDefault="00D1518C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D56AA" w:rsidRDefault="00D1518C" w:rsidP="002172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Informe de resultados de la Batería Psicosocial</w:t>
            </w:r>
          </w:p>
        </w:tc>
        <w:tc>
          <w:tcPr>
            <w:tcW w:w="1217" w:type="dxa"/>
          </w:tcPr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D1518C" w:rsidRDefault="00D1518C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D1518C" w:rsidRDefault="00D1518C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01/08/2022</w:t>
            </w:r>
          </w:p>
        </w:tc>
        <w:tc>
          <w:tcPr>
            <w:tcW w:w="1217" w:type="dxa"/>
          </w:tcPr>
          <w:p w:rsidR="00ED56AA" w:rsidRDefault="00ED56AA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D1518C" w:rsidRDefault="00D1518C" w:rsidP="00ED56AA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D1518C" w:rsidRDefault="00D1518C" w:rsidP="00ED56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30/11/2022</w:t>
            </w:r>
          </w:p>
        </w:tc>
        <w:tc>
          <w:tcPr>
            <w:tcW w:w="2297" w:type="dxa"/>
            <w:vAlign w:val="center"/>
          </w:tcPr>
          <w:p w:rsidR="00ED56AA" w:rsidRDefault="0082536A" w:rsidP="0082536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633CC">
              <w:rPr>
                <w:rFonts w:ascii="Arial" w:hAnsi="Arial" w:cs="Arial"/>
                <w:color w:val="000000"/>
                <w:sz w:val="20"/>
              </w:rPr>
              <w:t>Líder Seguridad y Salud en el Trabajo</w:t>
            </w:r>
          </w:p>
        </w:tc>
      </w:tr>
    </w:tbl>
    <w:p w:rsidR="00E44240" w:rsidRPr="00777999" w:rsidRDefault="00E44240" w:rsidP="005D7F82">
      <w:pPr>
        <w:rPr>
          <w:rFonts w:ascii="Arial" w:hAnsi="Arial" w:cs="Arial"/>
          <w:color w:val="000000"/>
          <w:sz w:val="20"/>
        </w:rPr>
      </w:pPr>
    </w:p>
    <w:p w:rsidR="00777999" w:rsidRDefault="00777999" w:rsidP="00777999">
      <w:pPr>
        <w:jc w:val="both"/>
        <w:rPr>
          <w:color w:val="000000"/>
          <w:lang w:val="es-CO" w:eastAsia="es-CO"/>
        </w:rPr>
      </w:pPr>
      <w:r w:rsidRPr="00777999">
        <w:rPr>
          <w:rFonts w:ascii="Arial" w:hAnsi="Arial" w:cs="Arial"/>
          <w:color w:val="000000"/>
          <w:sz w:val="20"/>
        </w:rPr>
        <w:t>Nota: En el Plan Específico de Cumplimiento Sistema de Gestión de Seguridad y Salud en el Trabajo, se tendrán en cuenta actividades que apoyan el cumplimiento al presente programa. </w:t>
      </w:r>
    </w:p>
    <w:p w:rsidR="00777999" w:rsidRDefault="00777999" w:rsidP="00777999">
      <w:pPr>
        <w:rPr>
          <w:rFonts w:ascii="Arial" w:hAnsi="Arial" w:cs="Arial"/>
          <w:b/>
          <w:color w:val="000000"/>
          <w:lang w:val="es-CO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1325B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CE1665" w:rsidRDefault="001325B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</w:p>
    <w:p w:rsidR="0021721D" w:rsidRDefault="0021721D" w:rsidP="005D7F82">
      <w:pPr>
        <w:rPr>
          <w:rFonts w:ascii="Arial" w:hAnsi="Arial" w:cs="Arial"/>
          <w:color w:val="000000"/>
          <w:sz w:val="20"/>
        </w:rPr>
      </w:pPr>
    </w:p>
    <w:p w:rsidR="0021721D" w:rsidRDefault="0021721D" w:rsidP="0021721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Para el desarrollo del presente programa se tendrá </w:t>
      </w:r>
      <w:r w:rsidR="00567752">
        <w:rPr>
          <w:rFonts w:ascii="Arial" w:hAnsi="Arial" w:cs="Arial"/>
          <w:color w:val="000000"/>
          <w:sz w:val="20"/>
        </w:rPr>
        <w:t>en cuenta:</w:t>
      </w:r>
    </w:p>
    <w:p w:rsidR="00567752" w:rsidRDefault="00567752" w:rsidP="0021721D">
      <w:pPr>
        <w:jc w:val="both"/>
        <w:rPr>
          <w:rFonts w:ascii="Arial" w:hAnsi="Arial" w:cs="Arial"/>
          <w:color w:val="000000"/>
          <w:sz w:val="20"/>
        </w:rPr>
      </w:pPr>
    </w:p>
    <w:p w:rsidR="00567752" w:rsidRPr="00777999" w:rsidRDefault="00567752" w:rsidP="0077799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</w:rPr>
      </w:pPr>
      <w:r w:rsidRPr="00777999">
        <w:rPr>
          <w:rFonts w:ascii="Arial" w:hAnsi="Arial" w:cs="Arial"/>
          <w:color w:val="000000"/>
          <w:sz w:val="20"/>
        </w:rPr>
        <w:t xml:space="preserve">Resultados de la aplicación de la Batería psicosocial </w:t>
      </w:r>
    </w:p>
    <w:p w:rsidR="00567752" w:rsidRPr="00777999" w:rsidRDefault="00567752" w:rsidP="00777999">
      <w:pPr>
        <w:pStyle w:val="Prrafodelista"/>
        <w:numPr>
          <w:ilvl w:val="0"/>
          <w:numId w:val="2"/>
        </w:numPr>
        <w:jc w:val="both"/>
        <w:rPr>
          <w:rStyle w:val="Hipervnculo"/>
          <w:rFonts w:ascii="Arial" w:hAnsi="Arial" w:cs="Arial"/>
          <w:sz w:val="20"/>
        </w:rPr>
      </w:pPr>
      <w:r w:rsidRPr="00777999">
        <w:rPr>
          <w:rFonts w:ascii="Arial" w:hAnsi="Arial" w:cs="Arial"/>
          <w:color w:val="000000"/>
          <w:sz w:val="20"/>
        </w:rPr>
        <w:t xml:space="preserve">Resolución </w:t>
      </w:r>
      <w:r w:rsidR="00777999" w:rsidRPr="00777999">
        <w:rPr>
          <w:rFonts w:ascii="Arial" w:hAnsi="Arial" w:cs="Arial"/>
          <w:color w:val="000000"/>
          <w:sz w:val="20"/>
        </w:rPr>
        <w:t xml:space="preserve">00257 de 23 de Junio de 2021 </w:t>
      </w:r>
      <w:r w:rsidRPr="00777999">
        <w:rPr>
          <w:rFonts w:ascii="Arial" w:hAnsi="Arial" w:cs="Arial"/>
          <w:color w:val="000000"/>
          <w:sz w:val="20"/>
        </w:rPr>
        <w:t xml:space="preserve">“Por la cual se conforma </w:t>
      </w:r>
      <w:r w:rsidR="00777999" w:rsidRPr="00777999">
        <w:rPr>
          <w:rFonts w:ascii="Arial" w:hAnsi="Arial" w:cs="Arial"/>
          <w:color w:val="000000"/>
          <w:sz w:val="20"/>
        </w:rPr>
        <w:t>el comité de convivencia laboral del Fondo Rotatorio de la Policía para el periodo 2021-2023”</w:t>
      </w:r>
      <w:r w:rsidRPr="00777999">
        <w:rPr>
          <w:rFonts w:ascii="Arial" w:hAnsi="Arial" w:cs="Arial"/>
          <w:color w:val="000000"/>
          <w:sz w:val="20"/>
        </w:rPr>
        <w:t xml:space="preserve"> </w:t>
      </w:r>
    </w:p>
    <w:p w:rsidR="0021721D" w:rsidRDefault="0021721D" w:rsidP="005D7F82">
      <w:pPr>
        <w:rPr>
          <w:rFonts w:ascii="Arial" w:hAnsi="Arial" w:cs="Arial"/>
          <w:b/>
          <w:color w:val="000000"/>
        </w:rPr>
      </w:pPr>
    </w:p>
    <w:sectPr w:rsidR="0021721D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C3" w:rsidRDefault="009372C3" w:rsidP="005D7F82">
      <w:r>
        <w:separator/>
      </w:r>
    </w:p>
  </w:endnote>
  <w:endnote w:type="continuationSeparator" w:id="0">
    <w:p w:rsidR="009372C3" w:rsidRDefault="009372C3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777999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777999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C3" w:rsidRDefault="009372C3" w:rsidP="005D7F82">
      <w:r>
        <w:separator/>
      </w:r>
    </w:p>
  </w:footnote>
  <w:footnote w:type="continuationSeparator" w:id="0">
    <w:p w:rsidR="009372C3" w:rsidRDefault="009372C3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3pt;height:31.25pt" o:ole="">
                <v:imagedata r:id="rId1" o:title=""/>
              </v:shape>
              <o:OLEObject Type="Embed" ProgID="CDraw5" ShapeID="_x0000_i1025" DrawAspect="Content" ObjectID="_1701148571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EE5462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PROGRAMA </w:t>
          </w:r>
          <w:r w:rsidR="000431DE">
            <w:rPr>
              <w:rFonts w:ascii="Arial" w:hAnsi="Arial"/>
              <w:b/>
              <w:sz w:val="20"/>
              <w:szCs w:val="28"/>
            </w:rPr>
            <w:t>RIESGO PSICOSOCIAL</w:t>
          </w:r>
        </w:p>
        <w:p w:rsidR="008478F2" w:rsidRPr="00E3505A" w:rsidRDefault="00777999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777999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98F"/>
    <w:multiLevelType w:val="hybridMultilevel"/>
    <w:tmpl w:val="3036D3D6"/>
    <w:lvl w:ilvl="0" w:tplc="6136D7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431DE"/>
    <w:rsid w:val="0004415E"/>
    <w:rsid w:val="0006368A"/>
    <w:rsid w:val="00076263"/>
    <w:rsid w:val="000769A2"/>
    <w:rsid w:val="00090A81"/>
    <w:rsid w:val="00093B5D"/>
    <w:rsid w:val="000941E5"/>
    <w:rsid w:val="000B1CD2"/>
    <w:rsid w:val="000B6121"/>
    <w:rsid w:val="000D000D"/>
    <w:rsid w:val="000D64BB"/>
    <w:rsid w:val="000D788B"/>
    <w:rsid w:val="000E24CD"/>
    <w:rsid w:val="000E7361"/>
    <w:rsid w:val="000F0199"/>
    <w:rsid w:val="00101157"/>
    <w:rsid w:val="00113276"/>
    <w:rsid w:val="0011411C"/>
    <w:rsid w:val="00123764"/>
    <w:rsid w:val="001325B2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E66CF"/>
    <w:rsid w:val="001F1FF5"/>
    <w:rsid w:val="001F3F39"/>
    <w:rsid w:val="001F53E8"/>
    <w:rsid w:val="00206DA4"/>
    <w:rsid w:val="0021721D"/>
    <w:rsid w:val="00222E01"/>
    <w:rsid w:val="0022754D"/>
    <w:rsid w:val="00240F8F"/>
    <w:rsid w:val="002425CA"/>
    <w:rsid w:val="0024679C"/>
    <w:rsid w:val="002653E3"/>
    <w:rsid w:val="002A1F5F"/>
    <w:rsid w:val="002B4621"/>
    <w:rsid w:val="002C0748"/>
    <w:rsid w:val="002C64CD"/>
    <w:rsid w:val="002D30B2"/>
    <w:rsid w:val="002D6179"/>
    <w:rsid w:val="002D74FA"/>
    <w:rsid w:val="002E1512"/>
    <w:rsid w:val="002E5D7F"/>
    <w:rsid w:val="002F0F98"/>
    <w:rsid w:val="002F3667"/>
    <w:rsid w:val="0031091C"/>
    <w:rsid w:val="00361F85"/>
    <w:rsid w:val="00376457"/>
    <w:rsid w:val="00393399"/>
    <w:rsid w:val="003A1BFF"/>
    <w:rsid w:val="003B206B"/>
    <w:rsid w:val="004062D6"/>
    <w:rsid w:val="00407C99"/>
    <w:rsid w:val="00410072"/>
    <w:rsid w:val="00417721"/>
    <w:rsid w:val="00421AB6"/>
    <w:rsid w:val="00432477"/>
    <w:rsid w:val="00433307"/>
    <w:rsid w:val="00437612"/>
    <w:rsid w:val="00442EB0"/>
    <w:rsid w:val="0045056D"/>
    <w:rsid w:val="00455C54"/>
    <w:rsid w:val="00462352"/>
    <w:rsid w:val="00464458"/>
    <w:rsid w:val="00464D59"/>
    <w:rsid w:val="00466D31"/>
    <w:rsid w:val="00475205"/>
    <w:rsid w:val="00483112"/>
    <w:rsid w:val="004B6204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67752"/>
    <w:rsid w:val="0058024E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4178"/>
    <w:rsid w:val="00607567"/>
    <w:rsid w:val="00611868"/>
    <w:rsid w:val="00631A1D"/>
    <w:rsid w:val="00634446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46992"/>
    <w:rsid w:val="00747814"/>
    <w:rsid w:val="007479CB"/>
    <w:rsid w:val="00753430"/>
    <w:rsid w:val="00767272"/>
    <w:rsid w:val="00777999"/>
    <w:rsid w:val="007807E4"/>
    <w:rsid w:val="00793AFF"/>
    <w:rsid w:val="007A0F7C"/>
    <w:rsid w:val="007C14C0"/>
    <w:rsid w:val="007C2253"/>
    <w:rsid w:val="007C6DB3"/>
    <w:rsid w:val="007D3435"/>
    <w:rsid w:val="007E6461"/>
    <w:rsid w:val="00806B50"/>
    <w:rsid w:val="00811F8F"/>
    <w:rsid w:val="00822B97"/>
    <w:rsid w:val="0082461C"/>
    <w:rsid w:val="0082536A"/>
    <w:rsid w:val="00867DF7"/>
    <w:rsid w:val="00875851"/>
    <w:rsid w:val="00876A08"/>
    <w:rsid w:val="00895487"/>
    <w:rsid w:val="008A7FD6"/>
    <w:rsid w:val="008C37CC"/>
    <w:rsid w:val="008C44AD"/>
    <w:rsid w:val="008E231E"/>
    <w:rsid w:val="0091491D"/>
    <w:rsid w:val="00934C3E"/>
    <w:rsid w:val="009372C3"/>
    <w:rsid w:val="00937BEE"/>
    <w:rsid w:val="00955411"/>
    <w:rsid w:val="00965AC5"/>
    <w:rsid w:val="009675D3"/>
    <w:rsid w:val="009A2E8B"/>
    <w:rsid w:val="009A3AEE"/>
    <w:rsid w:val="009E6A5E"/>
    <w:rsid w:val="009F3EF7"/>
    <w:rsid w:val="00A0177C"/>
    <w:rsid w:val="00A034EE"/>
    <w:rsid w:val="00A2487F"/>
    <w:rsid w:val="00A353B2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E786A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53B79"/>
    <w:rsid w:val="00C6632D"/>
    <w:rsid w:val="00C7196B"/>
    <w:rsid w:val="00C728AE"/>
    <w:rsid w:val="00C817BA"/>
    <w:rsid w:val="00CC647F"/>
    <w:rsid w:val="00CD2240"/>
    <w:rsid w:val="00CD571E"/>
    <w:rsid w:val="00CE1665"/>
    <w:rsid w:val="00CF0A8F"/>
    <w:rsid w:val="00CF7BC0"/>
    <w:rsid w:val="00D0316A"/>
    <w:rsid w:val="00D1518C"/>
    <w:rsid w:val="00D40684"/>
    <w:rsid w:val="00D46201"/>
    <w:rsid w:val="00D46F8D"/>
    <w:rsid w:val="00D50B6C"/>
    <w:rsid w:val="00D60680"/>
    <w:rsid w:val="00D9116D"/>
    <w:rsid w:val="00DA3373"/>
    <w:rsid w:val="00DA4174"/>
    <w:rsid w:val="00DC29E5"/>
    <w:rsid w:val="00DE064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4240"/>
    <w:rsid w:val="00E464CD"/>
    <w:rsid w:val="00E67636"/>
    <w:rsid w:val="00E70007"/>
    <w:rsid w:val="00EC32F5"/>
    <w:rsid w:val="00EC6FB5"/>
    <w:rsid w:val="00ED56AA"/>
    <w:rsid w:val="00EE5462"/>
    <w:rsid w:val="00EE5DE1"/>
    <w:rsid w:val="00EF398A"/>
    <w:rsid w:val="00F13AE3"/>
    <w:rsid w:val="00F27765"/>
    <w:rsid w:val="00F27B01"/>
    <w:rsid w:val="00F37381"/>
    <w:rsid w:val="00F47D6F"/>
    <w:rsid w:val="00F534D7"/>
    <w:rsid w:val="00F65DF0"/>
    <w:rsid w:val="00F81FBF"/>
    <w:rsid w:val="00FB10C9"/>
    <w:rsid w:val="00FB347E"/>
    <w:rsid w:val="00FD228C"/>
    <w:rsid w:val="00FF03C1"/>
    <w:rsid w:val="00FF52E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7F07-072B-4B62-BD89-73249674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Laura Daniela Arevalo Urrego</cp:lastModifiedBy>
  <cp:revision>3</cp:revision>
  <dcterms:created xsi:type="dcterms:W3CDTF">2021-12-16T13:01:00Z</dcterms:created>
  <dcterms:modified xsi:type="dcterms:W3CDTF">2021-12-16T13:30:00Z</dcterms:modified>
</cp:coreProperties>
</file>